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C394D" w14:textId="77777777" w:rsidR="008E3096" w:rsidRDefault="008E3096" w:rsidP="008E3096">
      <w:pPr>
        <w:rPr>
          <w:rFonts w:eastAsia="Times New Roman"/>
        </w:rPr>
      </w:pPr>
      <w:r>
        <w:rPr>
          <w:rFonts w:eastAsia="Times New Roman"/>
          <w:vanish/>
          <w:color w:val="FFFFFF"/>
          <w:sz w:val="2"/>
          <w:szCs w:val="2"/>
        </w:rPr>
        <w:t xml:space="preserve">sophospsmartbannerend </w:t>
      </w:r>
    </w:p>
    <w:p w14:paraId="679F0554" w14:textId="77777777" w:rsidR="008E3096" w:rsidRDefault="008E3096" w:rsidP="008E3096">
      <w:bookmarkStart w:id="0" w:name="_Hlk52371273"/>
      <w:r>
        <w:t xml:space="preserve">Steven Mullen, Fire Chief </w:t>
      </w:r>
    </w:p>
    <w:p w14:paraId="5A9C56DC" w14:textId="77777777" w:rsidR="008E3096" w:rsidRDefault="008E3096" w:rsidP="008E3096">
      <w:r>
        <w:t xml:space="preserve">Filer Rural F.P.D. </w:t>
      </w:r>
    </w:p>
    <w:p w14:paraId="3ABD0C9D" w14:textId="77777777" w:rsidR="008E3096" w:rsidRDefault="008E3096" w:rsidP="008E3096"/>
    <w:p w14:paraId="0199C2F3" w14:textId="77777777" w:rsidR="008E3096" w:rsidRDefault="008E3096" w:rsidP="008E3096">
      <w:r>
        <w:t xml:space="preserve">Results of the ISRB Public Protection Classification Evaluation </w:t>
      </w:r>
    </w:p>
    <w:p w14:paraId="02D88493" w14:textId="77777777" w:rsidR="008E3096" w:rsidRDefault="008E3096" w:rsidP="008E3096"/>
    <w:p w14:paraId="4762B9E5" w14:textId="77777777" w:rsidR="008E3096" w:rsidRDefault="008E3096" w:rsidP="008E3096">
      <w:r>
        <w:t xml:space="preserve">Dear Chief Mullen: </w:t>
      </w:r>
    </w:p>
    <w:p w14:paraId="318257E6" w14:textId="77777777" w:rsidR="008E3096" w:rsidRDefault="008E3096" w:rsidP="008E3096"/>
    <w:p w14:paraId="7072EBA4" w14:textId="77777777" w:rsidR="008E3096" w:rsidRDefault="008E3096" w:rsidP="008E3096">
      <w:r>
        <w:t xml:space="preserve">Thank you to you and your team for assisting with the evaluation of the Filer Rural F.P.D. Based on this evaluation the following results will be made available to the companies using the services of the Idaho Surveying &amp; Rating Bureau, Inc.: </w:t>
      </w:r>
    </w:p>
    <w:tbl>
      <w:tblPr>
        <w:tblW w:w="10275" w:type="dxa"/>
        <w:tblCellMar>
          <w:left w:w="0" w:type="dxa"/>
          <w:right w:w="0" w:type="dxa"/>
        </w:tblCellMar>
        <w:tblLook w:val="04A0" w:firstRow="1" w:lastRow="0" w:firstColumn="1" w:lastColumn="0" w:noHBand="0" w:noVBand="1"/>
      </w:tblPr>
      <w:tblGrid>
        <w:gridCol w:w="1728"/>
        <w:gridCol w:w="4498"/>
        <w:gridCol w:w="1890"/>
        <w:gridCol w:w="2159"/>
      </w:tblGrid>
      <w:tr w:rsidR="008E3096" w14:paraId="201B8678" w14:textId="77777777" w:rsidTr="008E3096">
        <w:tc>
          <w:tcPr>
            <w:tcW w:w="622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6F1A9" w14:textId="77777777" w:rsidR="008E3096" w:rsidRDefault="008E3096">
            <w:pPr>
              <w:spacing w:line="252" w:lineRule="auto"/>
              <w:rPr>
                <w:sz w:val="16"/>
                <w:szCs w:val="16"/>
              </w:rPr>
            </w:pPr>
            <w:bookmarkStart w:id="1" w:name="Text11"/>
            <w:r>
              <w:rPr>
                <w:sz w:val="16"/>
                <w:szCs w:val="16"/>
              </w:rPr>
              <w:t xml:space="preserve">Location of property to be insured. </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19646" w14:textId="77777777" w:rsidR="008E3096" w:rsidRDefault="008E3096">
            <w:pPr>
              <w:spacing w:line="252" w:lineRule="auto"/>
              <w:rPr>
                <w:sz w:val="14"/>
                <w:szCs w:val="14"/>
              </w:rPr>
            </w:pPr>
            <w:r>
              <w:rPr>
                <w:sz w:val="14"/>
                <w:szCs w:val="14"/>
              </w:rPr>
              <w:t xml:space="preserve">Public Protection Class for </w:t>
            </w:r>
            <w:r>
              <w:rPr>
                <w:sz w:val="14"/>
                <w:szCs w:val="14"/>
              </w:rPr>
              <w:br/>
              <w:t xml:space="preserve">Dwelling and Homeowners </w:t>
            </w:r>
          </w:p>
        </w:tc>
        <w:tc>
          <w:tcPr>
            <w:tcW w:w="21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5E9F8C" w14:textId="77777777" w:rsidR="008E3096" w:rsidRDefault="008E3096">
            <w:pPr>
              <w:spacing w:line="252" w:lineRule="auto"/>
              <w:rPr>
                <w:sz w:val="14"/>
                <w:szCs w:val="14"/>
              </w:rPr>
            </w:pPr>
            <w:r>
              <w:rPr>
                <w:sz w:val="14"/>
                <w:szCs w:val="14"/>
              </w:rPr>
              <w:t xml:space="preserve">Public Protection Class for Commercial Property and Farms </w:t>
            </w:r>
          </w:p>
        </w:tc>
      </w:tr>
      <w:tr w:rsidR="008E3096" w14:paraId="08C6DC38" w14:textId="77777777" w:rsidTr="008E3096">
        <w:tc>
          <w:tcPr>
            <w:tcW w:w="62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27472" w14:textId="77777777" w:rsidR="008E3096" w:rsidRDefault="008E3096">
            <w:pPr>
              <w:spacing w:line="252" w:lineRule="auto"/>
              <w:rPr>
                <w:sz w:val="16"/>
                <w:szCs w:val="16"/>
              </w:rPr>
            </w:pPr>
            <w:r>
              <w:rPr>
                <w:sz w:val="16"/>
                <w:szCs w:val="16"/>
              </w:rPr>
              <w:t xml:space="preserve">Within 5 miles of the fire station(s) listed below and within 1000 ft of a fire hydrant/pumper connection on one of the water systems listed below. </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083A24DD" w14:textId="77777777" w:rsidR="008E3096" w:rsidRDefault="008E3096">
            <w:pPr>
              <w:spacing w:line="252" w:lineRule="auto"/>
              <w:jc w:val="center"/>
              <w:rPr>
                <w:b/>
                <w:bCs/>
                <w:sz w:val="16"/>
                <w:szCs w:val="16"/>
              </w:rPr>
            </w:pPr>
            <w:r>
              <w:rPr>
                <w:b/>
                <w:bCs/>
                <w:sz w:val="16"/>
                <w:szCs w:val="16"/>
              </w:rPr>
              <w:t xml:space="preserve">3 </w:t>
            </w:r>
          </w:p>
        </w:tc>
        <w:tc>
          <w:tcPr>
            <w:tcW w:w="2159" w:type="dxa"/>
            <w:tcBorders>
              <w:top w:val="nil"/>
              <w:left w:val="nil"/>
              <w:bottom w:val="single" w:sz="8" w:space="0" w:color="auto"/>
              <w:right w:val="single" w:sz="8" w:space="0" w:color="auto"/>
            </w:tcBorders>
            <w:tcMar>
              <w:top w:w="0" w:type="dxa"/>
              <w:left w:w="108" w:type="dxa"/>
              <w:bottom w:w="0" w:type="dxa"/>
              <w:right w:w="108" w:type="dxa"/>
            </w:tcMar>
            <w:hideMark/>
          </w:tcPr>
          <w:p w14:paraId="39A4F7E5" w14:textId="77777777" w:rsidR="008E3096" w:rsidRDefault="008E3096">
            <w:pPr>
              <w:spacing w:line="252" w:lineRule="auto"/>
              <w:jc w:val="center"/>
              <w:rPr>
                <w:b/>
                <w:bCs/>
                <w:sz w:val="16"/>
                <w:szCs w:val="16"/>
              </w:rPr>
            </w:pPr>
            <w:r>
              <w:rPr>
                <w:b/>
                <w:bCs/>
                <w:sz w:val="16"/>
                <w:szCs w:val="16"/>
              </w:rPr>
              <w:t xml:space="preserve">3 </w:t>
            </w:r>
          </w:p>
        </w:tc>
      </w:tr>
      <w:tr w:rsidR="008E3096" w14:paraId="71F51DF6" w14:textId="77777777" w:rsidTr="008E3096">
        <w:tc>
          <w:tcPr>
            <w:tcW w:w="62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B0385" w14:textId="77777777" w:rsidR="008E3096" w:rsidRDefault="008E3096">
            <w:pPr>
              <w:spacing w:line="252" w:lineRule="auto"/>
              <w:rPr>
                <w:sz w:val="16"/>
                <w:szCs w:val="16"/>
              </w:rPr>
            </w:pPr>
            <w:r>
              <w:rPr>
                <w:sz w:val="16"/>
                <w:szCs w:val="16"/>
              </w:rPr>
              <w:t xml:space="preserve">Within 5 miles of the fire station(s) listed below and more than 1000 ft of a fire hydrant/pumper connection. </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6BC2E17A" w14:textId="77777777" w:rsidR="008E3096" w:rsidRDefault="008E3096">
            <w:pPr>
              <w:spacing w:line="252" w:lineRule="auto"/>
              <w:jc w:val="center"/>
              <w:rPr>
                <w:b/>
                <w:bCs/>
                <w:sz w:val="16"/>
                <w:szCs w:val="16"/>
              </w:rPr>
            </w:pPr>
            <w:r>
              <w:rPr>
                <w:b/>
                <w:bCs/>
                <w:sz w:val="16"/>
                <w:szCs w:val="16"/>
              </w:rPr>
              <w:t xml:space="preserve">8 </w:t>
            </w:r>
          </w:p>
        </w:tc>
        <w:tc>
          <w:tcPr>
            <w:tcW w:w="2159" w:type="dxa"/>
            <w:tcBorders>
              <w:top w:val="nil"/>
              <w:left w:val="nil"/>
              <w:bottom w:val="single" w:sz="8" w:space="0" w:color="auto"/>
              <w:right w:val="single" w:sz="8" w:space="0" w:color="auto"/>
            </w:tcBorders>
            <w:tcMar>
              <w:top w:w="0" w:type="dxa"/>
              <w:left w:w="108" w:type="dxa"/>
              <w:bottom w:w="0" w:type="dxa"/>
              <w:right w:w="108" w:type="dxa"/>
            </w:tcMar>
            <w:hideMark/>
          </w:tcPr>
          <w:p w14:paraId="2E50EF32" w14:textId="77777777" w:rsidR="008E3096" w:rsidRDefault="008E3096">
            <w:pPr>
              <w:spacing w:line="252" w:lineRule="auto"/>
              <w:jc w:val="center"/>
              <w:rPr>
                <w:b/>
                <w:bCs/>
                <w:sz w:val="16"/>
                <w:szCs w:val="16"/>
              </w:rPr>
            </w:pPr>
            <w:r>
              <w:rPr>
                <w:b/>
                <w:bCs/>
                <w:sz w:val="16"/>
                <w:szCs w:val="16"/>
              </w:rPr>
              <w:t xml:space="preserve">9 </w:t>
            </w:r>
          </w:p>
        </w:tc>
        <w:bookmarkEnd w:id="1"/>
      </w:tr>
      <w:tr w:rsidR="008E3096" w14:paraId="45176F75" w14:textId="77777777" w:rsidTr="008E3096">
        <w:tc>
          <w:tcPr>
            <w:tcW w:w="62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B6D89" w14:textId="77777777" w:rsidR="008E3096" w:rsidRDefault="008E3096">
            <w:pPr>
              <w:spacing w:line="252" w:lineRule="auto"/>
              <w:rPr>
                <w:sz w:val="16"/>
                <w:szCs w:val="16"/>
              </w:rPr>
            </w:pPr>
            <w:r>
              <w:rPr>
                <w:sz w:val="16"/>
                <w:szCs w:val="16"/>
              </w:rPr>
              <w:t xml:space="preserve">Within 5 &amp; 10 miles to a fire station(s) listed below and more than 1000 ft of a fire hydrant/pumper connection. </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76F614AE" w14:textId="77777777" w:rsidR="008E3096" w:rsidRDefault="008E3096">
            <w:pPr>
              <w:spacing w:line="252" w:lineRule="auto"/>
              <w:jc w:val="center"/>
              <w:rPr>
                <w:b/>
                <w:bCs/>
                <w:sz w:val="16"/>
                <w:szCs w:val="16"/>
              </w:rPr>
            </w:pPr>
            <w:r>
              <w:rPr>
                <w:b/>
                <w:bCs/>
                <w:sz w:val="16"/>
                <w:szCs w:val="16"/>
              </w:rPr>
              <w:t xml:space="preserve">9 </w:t>
            </w:r>
          </w:p>
        </w:tc>
        <w:tc>
          <w:tcPr>
            <w:tcW w:w="2159" w:type="dxa"/>
            <w:tcBorders>
              <w:top w:val="nil"/>
              <w:left w:val="nil"/>
              <w:bottom w:val="single" w:sz="8" w:space="0" w:color="auto"/>
              <w:right w:val="single" w:sz="8" w:space="0" w:color="auto"/>
            </w:tcBorders>
            <w:tcMar>
              <w:top w:w="0" w:type="dxa"/>
              <w:left w:w="108" w:type="dxa"/>
              <w:bottom w:w="0" w:type="dxa"/>
              <w:right w:w="108" w:type="dxa"/>
            </w:tcMar>
            <w:hideMark/>
          </w:tcPr>
          <w:p w14:paraId="59845756" w14:textId="77777777" w:rsidR="008E3096" w:rsidRDefault="008E3096">
            <w:pPr>
              <w:spacing w:line="252" w:lineRule="auto"/>
              <w:jc w:val="center"/>
              <w:rPr>
                <w:b/>
                <w:bCs/>
                <w:sz w:val="16"/>
                <w:szCs w:val="16"/>
              </w:rPr>
            </w:pPr>
            <w:r>
              <w:rPr>
                <w:b/>
                <w:bCs/>
                <w:sz w:val="16"/>
                <w:szCs w:val="16"/>
              </w:rPr>
              <w:t xml:space="preserve">9 </w:t>
            </w:r>
          </w:p>
        </w:tc>
      </w:tr>
      <w:tr w:rsidR="008E3096" w14:paraId="05FA25F9" w14:textId="77777777" w:rsidTr="008E3096">
        <w:tc>
          <w:tcPr>
            <w:tcW w:w="62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1BC6F4" w14:textId="77777777" w:rsidR="008E3096" w:rsidRDefault="008E3096">
            <w:pPr>
              <w:spacing w:line="252" w:lineRule="auto"/>
              <w:rPr>
                <w:sz w:val="16"/>
                <w:szCs w:val="16"/>
              </w:rPr>
            </w:pPr>
            <w:r>
              <w:rPr>
                <w:sz w:val="16"/>
                <w:szCs w:val="16"/>
              </w:rPr>
              <w:t xml:space="preserve">Over 10 miles to a fire station(s) listed below. </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7AC443F" w14:textId="77777777" w:rsidR="008E3096" w:rsidRDefault="008E3096">
            <w:pPr>
              <w:spacing w:line="252" w:lineRule="auto"/>
              <w:jc w:val="center"/>
              <w:rPr>
                <w:b/>
                <w:bCs/>
                <w:sz w:val="16"/>
                <w:szCs w:val="16"/>
              </w:rPr>
            </w:pPr>
            <w:r>
              <w:rPr>
                <w:b/>
                <w:bCs/>
                <w:sz w:val="16"/>
                <w:szCs w:val="16"/>
              </w:rPr>
              <w:t xml:space="preserve">10 </w:t>
            </w:r>
          </w:p>
        </w:tc>
        <w:tc>
          <w:tcPr>
            <w:tcW w:w="2159" w:type="dxa"/>
            <w:tcBorders>
              <w:top w:val="nil"/>
              <w:left w:val="nil"/>
              <w:bottom w:val="single" w:sz="8" w:space="0" w:color="auto"/>
              <w:right w:val="single" w:sz="8" w:space="0" w:color="auto"/>
            </w:tcBorders>
            <w:tcMar>
              <w:top w:w="0" w:type="dxa"/>
              <w:left w:w="108" w:type="dxa"/>
              <w:bottom w:w="0" w:type="dxa"/>
              <w:right w:w="108" w:type="dxa"/>
            </w:tcMar>
            <w:hideMark/>
          </w:tcPr>
          <w:p w14:paraId="06C31B47" w14:textId="77777777" w:rsidR="008E3096" w:rsidRDefault="008E3096">
            <w:pPr>
              <w:spacing w:line="252" w:lineRule="auto"/>
              <w:jc w:val="center"/>
              <w:rPr>
                <w:b/>
                <w:bCs/>
                <w:sz w:val="16"/>
                <w:szCs w:val="16"/>
              </w:rPr>
            </w:pPr>
            <w:r>
              <w:rPr>
                <w:b/>
                <w:bCs/>
                <w:sz w:val="16"/>
                <w:szCs w:val="16"/>
              </w:rPr>
              <w:t xml:space="preserve">10 </w:t>
            </w:r>
          </w:p>
        </w:tc>
      </w:tr>
      <w:tr w:rsidR="008E3096" w14:paraId="1BA3A224" w14:textId="77777777" w:rsidTr="008E3096">
        <w:trPr>
          <w:cantSplit/>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F7741" w14:textId="77777777" w:rsidR="008E3096" w:rsidRDefault="008E3096">
            <w:pPr>
              <w:spacing w:line="252" w:lineRule="auto"/>
              <w:rPr>
                <w:sz w:val="16"/>
                <w:szCs w:val="16"/>
              </w:rPr>
            </w:pPr>
            <w:r>
              <w:rPr>
                <w:sz w:val="16"/>
                <w:szCs w:val="16"/>
              </w:rPr>
              <w:t xml:space="preserve">Listed Water Systems: </w:t>
            </w:r>
          </w:p>
        </w:tc>
        <w:tc>
          <w:tcPr>
            <w:tcW w:w="8547"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2DEE27C" w14:textId="77777777" w:rsidR="008E3096" w:rsidRDefault="008E3096">
            <w:pPr>
              <w:spacing w:line="252" w:lineRule="auto"/>
              <w:rPr>
                <w:sz w:val="16"/>
                <w:szCs w:val="16"/>
              </w:rPr>
            </w:pPr>
            <w:r>
              <w:rPr>
                <w:sz w:val="16"/>
                <w:szCs w:val="16"/>
              </w:rPr>
              <w:t xml:space="preserve">Filer Municipal Water System </w:t>
            </w:r>
          </w:p>
        </w:tc>
      </w:tr>
      <w:tr w:rsidR="008E3096" w14:paraId="71DED483" w14:textId="77777777" w:rsidTr="008E3096">
        <w:trPr>
          <w:cantSplit/>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FF28D" w14:textId="77777777" w:rsidR="008E3096" w:rsidRDefault="008E3096">
            <w:pPr>
              <w:spacing w:line="252" w:lineRule="auto"/>
              <w:rPr>
                <w:sz w:val="16"/>
                <w:szCs w:val="16"/>
              </w:rPr>
            </w:pPr>
            <w:r>
              <w:rPr>
                <w:sz w:val="16"/>
                <w:szCs w:val="16"/>
              </w:rPr>
              <w:t xml:space="preserve">Listed Fire Stations: </w:t>
            </w:r>
          </w:p>
        </w:tc>
        <w:tc>
          <w:tcPr>
            <w:tcW w:w="8547"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0590343" w14:textId="77777777" w:rsidR="008E3096" w:rsidRDefault="008E3096">
            <w:pPr>
              <w:spacing w:line="252" w:lineRule="auto"/>
              <w:rPr>
                <w:b/>
                <w:bCs/>
                <w:sz w:val="16"/>
                <w:szCs w:val="16"/>
              </w:rPr>
            </w:pPr>
            <w:r>
              <w:rPr>
                <w:b/>
                <w:bCs/>
                <w:sz w:val="16"/>
                <w:szCs w:val="16"/>
              </w:rPr>
              <w:t xml:space="preserve">100 Hwy. 30 </w:t>
            </w:r>
          </w:p>
        </w:tc>
      </w:tr>
      <w:tr w:rsidR="008E3096" w14:paraId="7BA191CC" w14:textId="77777777" w:rsidTr="008E3096">
        <w:tc>
          <w:tcPr>
            <w:tcW w:w="1728" w:type="dxa"/>
            <w:vAlign w:val="center"/>
            <w:hideMark/>
          </w:tcPr>
          <w:p w14:paraId="0C8BA81F" w14:textId="77777777" w:rsidR="008E3096" w:rsidRDefault="008E3096">
            <w:pPr>
              <w:rPr>
                <w:b/>
                <w:bCs/>
                <w:sz w:val="16"/>
                <w:szCs w:val="16"/>
              </w:rPr>
            </w:pPr>
          </w:p>
        </w:tc>
        <w:tc>
          <w:tcPr>
            <w:tcW w:w="4498" w:type="dxa"/>
            <w:vAlign w:val="center"/>
            <w:hideMark/>
          </w:tcPr>
          <w:p w14:paraId="64BD58CB" w14:textId="77777777" w:rsidR="008E3096" w:rsidRDefault="008E3096">
            <w:pPr>
              <w:rPr>
                <w:rFonts w:ascii="Times New Roman" w:eastAsia="Times New Roman" w:hAnsi="Times New Roman" w:cs="Times New Roman"/>
                <w:sz w:val="20"/>
                <w:szCs w:val="20"/>
              </w:rPr>
            </w:pPr>
          </w:p>
        </w:tc>
        <w:tc>
          <w:tcPr>
            <w:tcW w:w="1890" w:type="dxa"/>
            <w:vAlign w:val="center"/>
            <w:hideMark/>
          </w:tcPr>
          <w:p w14:paraId="4F04520A" w14:textId="77777777" w:rsidR="008E3096" w:rsidRDefault="008E3096">
            <w:pPr>
              <w:rPr>
                <w:rFonts w:ascii="Times New Roman" w:eastAsia="Times New Roman" w:hAnsi="Times New Roman" w:cs="Times New Roman"/>
                <w:sz w:val="20"/>
                <w:szCs w:val="20"/>
              </w:rPr>
            </w:pPr>
          </w:p>
        </w:tc>
        <w:tc>
          <w:tcPr>
            <w:tcW w:w="2159" w:type="dxa"/>
            <w:vAlign w:val="center"/>
            <w:hideMark/>
          </w:tcPr>
          <w:p w14:paraId="73CC31DB" w14:textId="77777777" w:rsidR="008E3096" w:rsidRDefault="008E3096">
            <w:pPr>
              <w:rPr>
                <w:rFonts w:ascii="Times New Roman" w:eastAsia="Times New Roman" w:hAnsi="Times New Roman" w:cs="Times New Roman"/>
                <w:sz w:val="20"/>
                <w:szCs w:val="20"/>
              </w:rPr>
            </w:pPr>
          </w:p>
        </w:tc>
      </w:tr>
    </w:tbl>
    <w:p w14:paraId="0063270A" w14:textId="77777777" w:rsidR="008E3096" w:rsidRDefault="008E3096" w:rsidP="008E3096">
      <w:r>
        <w:t xml:space="preserve">This is an improvement from the previous grading this is also a merging of two gradings. These classifications and the updated status of the fire districts will be effective January 1, 2023. </w:t>
      </w:r>
    </w:p>
    <w:p w14:paraId="76DD5BB5" w14:textId="77777777" w:rsidR="008E3096" w:rsidRDefault="008E3096" w:rsidP="008E3096">
      <w:pPr>
        <w:rPr>
          <w:rFonts w:ascii="Times New Roman" w:hAnsi="Times New Roman" w:cs="Times New Roman"/>
        </w:rPr>
      </w:pPr>
    </w:p>
    <w:p w14:paraId="25142DFC" w14:textId="77777777" w:rsidR="008E3096" w:rsidRDefault="008E3096" w:rsidP="008E3096">
      <w:r>
        <w:t xml:space="preserve">The classifications listed above are not applicable to those properties with a Needed Fire Flow greater than 3,500 gallons per minute.  Those properties, if any, will be evaluated on an individual basis and may vary from the classes listed above. </w:t>
      </w:r>
    </w:p>
    <w:p w14:paraId="1234EEBF" w14:textId="77777777" w:rsidR="008E3096" w:rsidRDefault="008E3096" w:rsidP="008E3096">
      <w:pPr>
        <w:rPr>
          <w:sz w:val="21"/>
          <w:szCs w:val="21"/>
        </w:rPr>
      </w:pPr>
    </w:p>
    <w:p w14:paraId="13B7D2D5" w14:textId="77777777" w:rsidR="008E3096" w:rsidRDefault="008E3096" w:rsidP="008E3096">
      <w:r>
        <w:t xml:space="preserve">The purpose of this evaluation is to determine a property insurance classification.  The evaluation was not conducted for property loss prevention or life safety purposes and no life safety or property loss prevention recommendations will be made.  The numerical classes are a property insurance pricing tool.  The results of this evaluation are not intended to analyze all aspects of a comprehensive public protection program and should not be used for purposes other than insurance pricing. </w:t>
      </w:r>
    </w:p>
    <w:p w14:paraId="0E1FE6C3" w14:textId="77777777" w:rsidR="008E3096" w:rsidRDefault="008E3096" w:rsidP="008E3096"/>
    <w:p w14:paraId="78E46ED9" w14:textId="77777777" w:rsidR="008E3096" w:rsidRDefault="008E3096" w:rsidP="008E3096">
      <w:r>
        <w:t xml:space="preserve">Please find a copy of the Fire Suppression Rating Schedule Summary and the results from the hydrant flows that were conducted attached. </w:t>
      </w:r>
    </w:p>
    <w:p w14:paraId="6E7D7AE2" w14:textId="77777777" w:rsidR="008E3096" w:rsidRDefault="008E3096" w:rsidP="008E3096"/>
    <w:p w14:paraId="5EE01A46" w14:textId="77777777" w:rsidR="008E3096" w:rsidRDefault="008E3096" w:rsidP="008E3096">
      <w:r>
        <w:t xml:space="preserve">I would like to thank you for the courtesies extended to me during my visit. </w:t>
      </w:r>
    </w:p>
    <w:p w14:paraId="565CD81A" w14:textId="77777777" w:rsidR="008E3096" w:rsidRDefault="008E3096" w:rsidP="008E3096"/>
    <w:p w14:paraId="42DB5422" w14:textId="77777777" w:rsidR="008E3096" w:rsidRDefault="008E3096" w:rsidP="008E3096">
      <w:r>
        <w:t xml:space="preserve">If I can be of further assistance, please feel free to contact me. </w:t>
      </w:r>
    </w:p>
    <w:p w14:paraId="73376B66" w14:textId="77777777" w:rsidR="008E3096" w:rsidRDefault="008E3096" w:rsidP="008E3096"/>
    <w:p w14:paraId="30201A19" w14:textId="77777777" w:rsidR="008E3096" w:rsidRDefault="008E3096" w:rsidP="008E3096">
      <w:pPr>
        <w:rPr>
          <w:sz w:val="21"/>
          <w:szCs w:val="21"/>
        </w:rPr>
      </w:pPr>
      <w:r>
        <w:t>Sincerely,</w:t>
      </w:r>
      <w:bookmarkEnd w:id="0"/>
      <w:r>
        <w:rPr>
          <w:sz w:val="21"/>
          <w:szCs w:val="21"/>
        </w:rPr>
        <w:t xml:space="preserve"> </w:t>
      </w:r>
    </w:p>
    <w:p w14:paraId="5A95F63D" w14:textId="77777777" w:rsidR="008E3096" w:rsidRDefault="008E3096" w:rsidP="008E3096"/>
    <w:tbl>
      <w:tblPr>
        <w:tblW w:w="5130" w:type="dxa"/>
        <w:tblCellMar>
          <w:left w:w="0" w:type="dxa"/>
          <w:right w:w="0" w:type="dxa"/>
        </w:tblCellMar>
        <w:tblLook w:val="04A0" w:firstRow="1" w:lastRow="0" w:firstColumn="1" w:lastColumn="0" w:noHBand="0" w:noVBand="1"/>
      </w:tblPr>
      <w:tblGrid>
        <w:gridCol w:w="1686"/>
        <w:gridCol w:w="3444"/>
      </w:tblGrid>
      <w:tr w:rsidR="008E3096" w14:paraId="2490F108" w14:textId="77777777" w:rsidTr="008E3096">
        <w:trPr>
          <w:trHeight w:val="1214"/>
        </w:trPr>
        <w:tc>
          <w:tcPr>
            <w:tcW w:w="1440" w:type="dxa"/>
            <w:tcBorders>
              <w:top w:val="nil"/>
              <w:left w:val="nil"/>
              <w:bottom w:val="nil"/>
              <w:right w:val="single" w:sz="8" w:space="0" w:color="auto"/>
            </w:tcBorders>
            <w:tcMar>
              <w:top w:w="0" w:type="dxa"/>
              <w:left w:w="108" w:type="dxa"/>
              <w:bottom w:w="0" w:type="dxa"/>
              <w:right w:w="108" w:type="dxa"/>
            </w:tcMar>
            <w:hideMark/>
          </w:tcPr>
          <w:p w14:paraId="4614751A" w14:textId="00E769AE" w:rsidR="008E3096" w:rsidRDefault="008E3096">
            <w:pPr>
              <w:rPr>
                <w:sz w:val="18"/>
                <w:szCs w:val="18"/>
              </w:rPr>
            </w:pPr>
            <w:r>
              <w:rPr>
                <w:noProof/>
                <w:sz w:val="18"/>
                <w:szCs w:val="18"/>
              </w:rPr>
              <w:lastRenderedPageBreak/>
              <w:drawing>
                <wp:inline distT="0" distB="0" distL="0" distR="0" wp14:anchorId="13681CF9" wp14:editId="759C1BE7">
                  <wp:extent cx="9334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1276350"/>
                          </a:xfrm>
                          <a:prstGeom prst="rect">
                            <a:avLst/>
                          </a:prstGeom>
                          <a:noFill/>
                          <a:ln>
                            <a:noFill/>
                          </a:ln>
                        </pic:spPr>
                      </pic:pic>
                    </a:graphicData>
                  </a:graphic>
                </wp:inline>
              </w:drawing>
            </w:r>
          </w:p>
        </w:tc>
        <w:tc>
          <w:tcPr>
            <w:tcW w:w="3690" w:type="dxa"/>
            <w:tcMar>
              <w:top w:w="0" w:type="dxa"/>
              <w:left w:w="108" w:type="dxa"/>
              <w:bottom w:w="0" w:type="dxa"/>
              <w:right w:w="108" w:type="dxa"/>
            </w:tcMar>
          </w:tcPr>
          <w:p w14:paraId="19DD325A" w14:textId="77777777" w:rsidR="008E3096" w:rsidRDefault="008E3096">
            <w:pPr>
              <w:rPr>
                <w:rFonts w:ascii="Arial" w:hAnsi="Arial" w:cs="Arial"/>
                <w:b/>
                <w:bCs/>
                <w:sz w:val="24"/>
                <w:szCs w:val="24"/>
              </w:rPr>
            </w:pPr>
            <w:r>
              <w:rPr>
                <w:rFonts w:ascii="Arial" w:hAnsi="Arial" w:cs="Arial"/>
                <w:b/>
                <w:bCs/>
                <w:sz w:val="24"/>
                <w:szCs w:val="24"/>
              </w:rPr>
              <w:t xml:space="preserve">Leland Boekweg </w:t>
            </w:r>
          </w:p>
          <w:p w14:paraId="55E15A3F" w14:textId="77777777" w:rsidR="008E3096" w:rsidRDefault="008E3096">
            <w:pPr>
              <w:rPr>
                <w:rFonts w:ascii="Arial" w:hAnsi="Arial" w:cs="Arial"/>
                <w:i/>
                <w:iCs/>
                <w:sz w:val="20"/>
                <w:szCs w:val="20"/>
              </w:rPr>
            </w:pPr>
            <w:r>
              <w:rPr>
                <w:rFonts w:ascii="Arial" w:hAnsi="Arial" w:cs="Arial"/>
                <w:i/>
                <w:iCs/>
                <w:sz w:val="20"/>
                <w:szCs w:val="20"/>
              </w:rPr>
              <w:t xml:space="preserve">ISRB PPC Representative </w:t>
            </w:r>
          </w:p>
          <w:p w14:paraId="414FFB87" w14:textId="77777777" w:rsidR="008E3096" w:rsidRDefault="008E3096">
            <w:pPr>
              <w:rPr>
                <w:rFonts w:ascii="Arial" w:hAnsi="Arial" w:cs="Arial"/>
                <w:sz w:val="8"/>
                <w:szCs w:val="8"/>
              </w:rPr>
            </w:pPr>
          </w:p>
          <w:p w14:paraId="34713F50" w14:textId="77777777" w:rsidR="008E3096" w:rsidRDefault="008E3096">
            <w:pPr>
              <w:rPr>
                <w:rFonts w:ascii="Arial" w:hAnsi="Arial" w:cs="Arial"/>
                <w:sz w:val="20"/>
                <w:szCs w:val="20"/>
              </w:rPr>
            </w:pPr>
            <w:r>
              <w:rPr>
                <w:rFonts w:ascii="Arial" w:hAnsi="Arial" w:cs="Arial"/>
                <w:b/>
                <w:bCs/>
                <w:sz w:val="20"/>
                <w:szCs w:val="20"/>
              </w:rPr>
              <w:t>Phone</w:t>
            </w:r>
            <w:r>
              <w:rPr>
                <w:rFonts w:ascii="Arial" w:hAnsi="Arial" w:cs="Arial"/>
                <w:sz w:val="20"/>
                <w:szCs w:val="20"/>
              </w:rPr>
              <w:t xml:space="preserve">: 208-343-5483 x 23  </w:t>
            </w:r>
          </w:p>
          <w:p w14:paraId="7796AEA9" w14:textId="77777777" w:rsidR="008E3096" w:rsidRDefault="008E3096">
            <w:pPr>
              <w:rPr>
                <w:rFonts w:ascii="Arial" w:hAnsi="Arial" w:cs="Arial"/>
                <w:sz w:val="20"/>
                <w:szCs w:val="20"/>
              </w:rPr>
            </w:pPr>
            <w:r>
              <w:rPr>
                <w:rFonts w:ascii="Arial" w:hAnsi="Arial" w:cs="Arial"/>
                <w:b/>
                <w:bCs/>
                <w:sz w:val="20"/>
                <w:szCs w:val="20"/>
              </w:rPr>
              <w:t>Email</w:t>
            </w:r>
            <w:r>
              <w:rPr>
                <w:rFonts w:ascii="Arial" w:hAnsi="Arial" w:cs="Arial"/>
                <w:sz w:val="20"/>
                <w:szCs w:val="20"/>
              </w:rPr>
              <w:t xml:space="preserve">: </w:t>
            </w:r>
            <w:hyperlink r:id="rId6" w:history="1">
              <w:r>
                <w:rPr>
                  <w:rStyle w:val="Hyperlink"/>
                  <w:rFonts w:ascii="Arial" w:hAnsi="Arial" w:cs="Arial"/>
                  <w:sz w:val="20"/>
                  <w:szCs w:val="20"/>
                </w:rPr>
                <w:t>lboekweg@isrb.com</w:t>
              </w:r>
            </w:hyperlink>
            <w:r>
              <w:rPr>
                <w:rFonts w:ascii="Arial" w:hAnsi="Arial" w:cs="Arial"/>
                <w:sz w:val="20"/>
                <w:szCs w:val="20"/>
              </w:rPr>
              <w:t xml:space="preserve"> </w:t>
            </w:r>
          </w:p>
          <w:p w14:paraId="6AB777FD" w14:textId="77777777" w:rsidR="008E3096" w:rsidRDefault="008E3096">
            <w:pPr>
              <w:rPr>
                <w:rFonts w:ascii="Arial" w:hAnsi="Arial" w:cs="Arial"/>
                <w:b/>
                <w:bCs/>
                <w:sz w:val="20"/>
                <w:szCs w:val="20"/>
              </w:rPr>
            </w:pPr>
            <w:r>
              <w:rPr>
                <w:rFonts w:ascii="Arial" w:hAnsi="Arial" w:cs="Arial"/>
                <w:b/>
                <w:bCs/>
                <w:sz w:val="20"/>
                <w:szCs w:val="20"/>
              </w:rPr>
              <w:t>Web</w:t>
            </w:r>
            <w:r>
              <w:rPr>
                <w:rFonts w:ascii="Arial" w:hAnsi="Arial" w:cs="Arial"/>
                <w:sz w:val="20"/>
                <w:szCs w:val="20"/>
              </w:rPr>
              <w:t xml:space="preserve">: </w:t>
            </w:r>
            <w:hyperlink r:id="rId7" w:history="1">
              <w:r>
                <w:rPr>
                  <w:rStyle w:val="Hyperlink"/>
                  <w:rFonts w:ascii="Arial" w:hAnsi="Arial" w:cs="Arial"/>
                  <w:sz w:val="20"/>
                  <w:szCs w:val="20"/>
                </w:rPr>
                <w:t>www.isrb.com</w:t>
              </w:r>
            </w:hyperlink>
            <w:r>
              <w:rPr>
                <w:rFonts w:ascii="Arial" w:hAnsi="Arial" w:cs="Arial"/>
                <w:sz w:val="20"/>
                <w:szCs w:val="20"/>
              </w:rPr>
              <w:t xml:space="preserve"> </w:t>
            </w:r>
          </w:p>
          <w:p w14:paraId="1B8302A6" w14:textId="77777777" w:rsidR="008E3096" w:rsidRDefault="008E3096">
            <w:pPr>
              <w:rPr>
                <w:rFonts w:ascii="Arial" w:hAnsi="Arial" w:cs="Arial"/>
                <w:b/>
                <w:bCs/>
                <w:sz w:val="20"/>
                <w:szCs w:val="20"/>
              </w:rPr>
            </w:pPr>
          </w:p>
          <w:p w14:paraId="0C0956B3" w14:textId="77777777" w:rsidR="008E3096" w:rsidRDefault="008E3096">
            <w:pPr>
              <w:rPr>
                <w:rFonts w:ascii="Arial" w:hAnsi="Arial" w:cs="Arial"/>
                <w:sz w:val="20"/>
                <w:szCs w:val="20"/>
              </w:rPr>
            </w:pPr>
            <w:r>
              <w:rPr>
                <w:rFonts w:ascii="Arial" w:hAnsi="Arial" w:cs="Arial"/>
                <w:sz w:val="20"/>
                <w:szCs w:val="20"/>
              </w:rPr>
              <w:t xml:space="preserve">1871 S. Cobalt Point Way </w:t>
            </w:r>
          </w:p>
          <w:p w14:paraId="5D4FD3F0" w14:textId="77777777" w:rsidR="008E3096" w:rsidRDefault="008E3096">
            <w:pPr>
              <w:rPr>
                <w:rFonts w:ascii="Arial" w:hAnsi="Arial" w:cs="Arial"/>
                <w:sz w:val="20"/>
                <w:szCs w:val="20"/>
              </w:rPr>
            </w:pPr>
            <w:r>
              <w:rPr>
                <w:rFonts w:ascii="Arial" w:hAnsi="Arial" w:cs="Arial"/>
                <w:sz w:val="20"/>
                <w:szCs w:val="20"/>
              </w:rPr>
              <w:t xml:space="preserve">Meridian, Idaho 83642 </w:t>
            </w:r>
          </w:p>
          <w:p w14:paraId="5A827FE5" w14:textId="77777777" w:rsidR="008E3096" w:rsidRDefault="008E3096">
            <w:pPr>
              <w:rPr>
                <w:rFonts w:ascii="Arial" w:hAnsi="Arial" w:cs="Arial"/>
                <w:b/>
                <w:bCs/>
                <w:sz w:val="20"/>
                <w:szCs w:val="20"/>
              </w:rPr>
            </w:pPr>
          </w:p>
          <w:p w14:paraId="5B7148A2" w14:textId="77777777" w:rsidR="008E3096" w:rsidRDefault="008E3096">
            <w:pPr>
              <w:rPr>
                <w:sz w:val="8"/>
                <w:szCs w:val="8"/>
              </w:rPr>
            </w:pPr>
          </w:p>
          <w:p w14:paraId="23FC63E4" w14:textId="77777777" w:rsidR="008E3096" w:rsidRDefault="008E3096">
            <w:pPr>
              <w:rPr>
                <w:rFonts w:ascii="Arial Narrow" w:hAnsi="Arial Narrow"/>
                <w:b/>
                <w:bCs/>
                <w:i/>
                <w:iCs/>
                <w:sz w:val="28"/>
                <w:szCs w:val="28"/>
              </w:rPr>
            </w:pPr>
            <w:r>
              <w:rPr>
                <w:rFonts w:ascii="Arial Narrow" w:hAnsi="Arial Narrow"/>
                <w:b/>
                <w:bCs/>
                <w:i/>
                <w:iCs/>
                <w:color w:val="2F5496"/>
                <w:sz w:val="28"/>
                <w:szCs w:val="28"/>
              </w:rPr>
              <w:t>Let us make your job easier!</w:t>
            </w:r>
            <w:r>
              <w:rPr>
                <w:rFonts w:ascii="Arial Narrow" w:hAnsi="Arial Narrow"/>
                <w:b/>
                <w:bCs/>
                <w:i/>
                <w:iCs/>
                <w:sz w:val="28"/>
                <w:szCs w:val="28"/>
              </w:rPr>
              <w:t xml:space="preserve"> </w:t>
            </w:r>
          </w:p>
        </w:tc>
      </w:tr>
    </w:tbl>
    <w:p w14:paraId="4C0C1AB5" w14:textId="77777777" w:rsidR="00C6732F" w:rsidRDefault="00C6732F"/>
    <w:sectPr w:rsidR="00C67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96"/>
    <w:rsid w:val="008E3096"/>
    <w:rsid w:val="00C6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483D"/>
  <w15:chartTrackingRefBased/>
  <w15:docId w15:val="{93D42DF5-B418-40C6-B628-71DC960F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0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0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s-west-2.protection.sophos.com?d=isrb.com&amp;u=aHR0cDovL3d3dy5pc3JiLmNvbQ==&amp;i=NjIxM2JlODU1ZGM2YzAxMDhlZmQwZjIz&amp;t=UDhwT0cwd1hDSlpZcW9nMUxpRnJVa0NsNTJvQzllTFVPNnlDN3hyZEg4QT0=&amp;h=6a73dded38854e6e8544b370621709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boekweg@isrb.com" TargetMode="External"/><Relationship Id="rId5" Type="http://schemas.openxmlformats.org/officeDocument/2006/relationships/image" Target="cid:image001.png@01D8DCB1.F90EABC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Mullen</dc:creator>
  <cp:keywords/>
  <dc:description/>
  <cp:lastModifiedBy>Steven Mullen</cp:lastModifiedBy>
  <cp:revision>1</cp:revision>
  <dcterms:created xsi:type="dcterms:W3CDTF">2023-01-05T20:54:00Z</dcterms:created>
  <dcterms:modified xsi:type="dcterms:W3CDTF">2023-01-05T20:54:00Z</dcterms:modified>
</cp:coreProperties>
</file>